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South West</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South West</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2414225" cy="1749703"/>
            <wp:docPr id="1002" name="Picture 1580869515"/>
            <wp:cNvGraphicFramePr>
              <a:graphicFrameLocks noChangeAspect="1"/>
            </wp:cNvGraphicFramePr>
            <a:graphic>
              <a:graphicData uri="http://schemas.openxmlformats.org/drawingml/2006/picture">
                <pic:pic>
                  <pic:nvPicPr>
                    <pic:cNvPr id="0" name="South West.png"/>
                    <pic:cNvPicPr/>
                  </pic:nvPicPr>
                  <pic:blipFill>
                    <a:blip r:embed="rId28"/>
                    <a:stretch>
                      <a:fillRect/>
                    </a:stretch>
                  </pic:blipFill>
                  <pic:spPr>
                    <a:xfrm>
                      <a:off x="0" y="0"/>
                      <a:ext cx="2414225" cy="1749703"/>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South West,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South West,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South West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South West is ranked </w:t>
      </w:r>
      <w:r w:rsidRPr="004141A5">
        <w:rPr>
          <w:rFonts w:ascii="Franklin Gothic Book" w:eastAsia="Times New Roman" w:hAnsi="Franklin Gothic Book" w:cs="Calibri Light"/>
          <w:b/>
          <w:bCs/>
          <w:color w:val="EF681C" w:themeColor="accent2"/>
          <w:sz w:val="22"/>
          <w:szCs w:val="22"/>
        </w:rPr>
        <w:t xml:space="preserve">6th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61.3%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1.9%</w:t>
      </w:r>
      <w:r w:rsidR="009E7905" w:rsidRPr="004141A5">
        <w:rPr>
          <w:rFonts w:ascii="Franklin Gothic Book" w:eastAsia="Times New Roman" w:hAnsi="Franklin Gothic Book" w:cs="Calibri Light"/>
          <w:sz w:val="22"/>
          <w:szCs w:val="22"/>
        </w:rPr>
        <w:t xml:space="preserve">) in the South West</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lowest</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the South West (among those with a PGSI score of 8+) is </w:t>
      </w:r>
      <w:r w:rsidRPr="004141A5">
        <w:rPr>
          <w:rFonts w:ascii="Franklin Gothic Book" w:hAnsi="Franklin Gothic Book" w:cs="Calibri Light"/>
          <w:b/>
          <w:bCs/>
          <w:color w:val="EF681C" w:themeColor="accent2"/>
          <w:sz w:val="22"/>
          <w:szCs w:val="22"/>
        </w:rPr>
        <w:t xml:space="preserve">Stigma</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32.9%</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South West.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South West</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6th</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61.3%</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2,885,482</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South West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South West.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South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54.0%</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61.3%</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South West.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South West</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12.4%</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581,624</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South West</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second lowest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9th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lowest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South West</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760000"/>
            <wp:docPr id="1006" name="Picture 1580869508"/>
            <wp:cNvGraphicFramePr>
              <a:graphicFrameLocks noChangeAspect="1"/>
            </wp:cNvGraphicFramePr>
            <a:graphic>
              <a:graphicData uri="http://schemas.openxmlformats.org/drawingml/2006/picture">
                <pic:pic>
                  <pic:nvPicPr>
                    <pic:cNvPr id="0" name="la_top_ten_South West.png"/>
                    <pic:cNvPicPr/>
                  </pic:nvPicPr>
                  <pic:blipFill>
                    <a:blip r:embed="rId21"/>
                    <a:stretch>
                      <a:fillRect/>
                    </a:stretch>
                  </pic:blipFill>
                  <pic:spPr>
                    <a:xfrm>
                      <a:off x="0" y="0"/>
                      <a:ext cx="5400000" cy="2760000"/>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South West</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Bristol (16.0%).</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3.8%</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young population in Bristol (as evidence in Appendix A shows, those aged 18 - 34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South Hams (9.0%)</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South West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South West.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South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1.5%</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1.9%</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South West</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6.6%</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7th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8.6%</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6th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South West.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South West</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4.8%</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South West</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second lowest</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31.4%</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South West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57.3%</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8th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South West.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South West</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3.3%</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second lowest</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22.9%</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South West</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53.8%</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Bristol</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This higher rate of wanting treatment is likely linked to the relatively young population in Bristol. Data shows, those aged 18 - 34 are more likely to have higher levels of ‘problem gambling’.</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South West</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South West.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South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59.7%</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57.3%</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South West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South West.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South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58.3%</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53.8%</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South West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South West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South West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43.3%*</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57.7%*</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9.2%*</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60.8%*</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36.1%*</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20.2%*</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5.7%*</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36.8%*</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21.3%*</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5.4%*</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15.4%*</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11.0%*</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32.9%*</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6.6%*</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4.2%*</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South West</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60.8%</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30.1%</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57.7%</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Stigma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32.9%</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23.9%</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South West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South West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South West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22.6%*</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39.4%*</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58.5%*</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32.9%*</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54.7%*</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5.1%*</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36.8%*</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37.2%*</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24.5%*</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South West</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Financial impacts or change in financial situation</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58.5%</w:t>
      </w:r>
      <w:r w:rsidR="00111031" w:rsidRPr="00001D81">
        <w:rPr>
          <w:rFonts w:ascii="Franklin Gothic Book" w:eastAsia="Times New Roman" w:hAnsi="Franklin Gothic Book" w:cs="Calibri Light"/>
          <w:szCs w:val="20"/>
          <w:lang w:eastAsia="en-GB"/>
        </w:rPr>
        <w:t xml:space="preserve">, compared to 21.1%</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Severe negative impact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37.2%</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18.7%</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Financial impacts or change in financial situation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54.7%</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37.8%</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South West</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5.0%</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lowest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South West.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South West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South West</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South West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£63,638,271</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South West</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£1,036,563</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£21,436,706</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£1,535,649</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£431,901</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£791,819</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£38,405,632</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£63,638,271</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South West</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47.9%</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52.1%</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36.0%</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41.3%</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47.6%</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50.2%</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7.3%</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6.0%</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6.0%</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1.8%</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3.1%</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0.7%</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West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16.4%</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8.5%</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3.1%</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0.7%</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27.3%</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28.5%</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22.9%</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49.4%</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33.1%</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36.9%</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30.5%</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50.7%</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57.3%</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9.4%</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8.4%</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3.9%</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6.6%</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5.7%</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1.2%</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4.1%</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2.0%</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0.7%</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West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South West, with </w:t>
      </w:r>
      <w:r w:rsidR="005F35A7" w:rsidRPr="006E0C20">
        <w:rPr>
          <w:rFonts w:ascii="Franklin Gothic Book" w:hAnsi="Franklin Gothic Book" w:cs="Calibri Light"/>
          <w:b/>
          <w:bCs/>
          <w:color w:val="003777"/>
          <w:sz w:val="22"/>
          <w:szCs w:val="22"/>
        </w:rPr>
        <w:t xml:space="preserve">20.1%</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16.1% among those aged 35-54 and 5.8%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6.9%</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93.1%</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49.8%</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38.0%</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22.5%</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50.5%</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9.1%</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6.5%</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7.0%</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11.5%</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1.3%</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West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11.4%</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(27.6%),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1.3%</w:t>
      </w:r>
      <w:r w:rsidR="005F35A7" w:rsidRPr="006E0C20">
        <w:rPr>
          <w:rFonts w:ascii="Franklin Gothic Book" w:hAnsi="Franklin Gothic Book" w:cs="Calibri Light"/>
          <w:sz w:val="22"/>
          <w:szCs w:val="22"/>
        </w:rPr>
        <w:t xml:space="preserve">, compared with 11.5%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2.1%</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25.6%</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17.0%</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55.3%</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59.5%</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43.7%</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50.6%</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31.9%</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25.3%</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52.0%</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36.8%</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52.1%</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10.0%</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3.5%</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3.9%</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8.4%</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3.6%</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0.3%</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5.1%</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5.3%</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1.7%</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0.6%</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3.5%</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2.3%</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West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unemployed or not working</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3.5%</w:t>
      </w:r>
      <w:r w:rsidR="005F35A7" w:rsidRPr="006E0C20">
        <w:rPr>
          <w:rFonts w:ascii="Franklin Gothic Book" w:hAnsi="Franklin Gothic Book" w:cs="Calibri Light"/>
          <w:sz w:val="22"/>
          <w:szCs w:val="22"/>
        </w:rPr>
        <w:t xml:space="preserve">, compared with 2.3%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53.5%</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46.5%</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43.5%</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35.3%</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43.1%</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53.8%</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6.9%</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6.1%</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4.0%</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3.5%</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2.5%</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1.2%</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West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2.5%</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1.2%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49.4%</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47.1%</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3.4%</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39.3%</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37.2%</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48.1%</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48.7%</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51.4%</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36.3%</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5.9%</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6.9%</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6.8%</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4.1%</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3.4%</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6.0%</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2.0%</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1.1%</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2.9%</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West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other religious faiths</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South West</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2.9%</w:t>
      </w:r>
      <w:r w:rsidR="004D2F15" w:rsidRPr="006E0C20">
        <w:rPr>
          <w:rFonts w:ascii="Franklin Gothic Book" w:hAnsi="Franklin Gothic Book" w:cs="Calibri Light"/>
          <w:sz w:val="22"/>
          <w:szCs w:val="22"/>
        </w:rPr>
        <w:t xml:space="preserve"> compared with 2.0% among those of Christian faith and 1.1%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BFC78247-7451-4DCF-8499-6A0E676E7DA8}"/>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